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Cs/>
          <w:i/>
          <w:i/>
          <w:sz w:val="20"/>
          <w:szCs w:val="20"/>
          <w:highlight w:val="yellow"/>
        </w:rPr>
      </w:pPr>
      <w:r>
        <w:rPr>
          <w:rFonts w:cs="Calibri" w:ascii="Univers" w:hAnsi="Univers"/>
          <w:b/>
          <w:i/>
          <w:sz w:val="20"/>
          <w:szCs w:val="20"/>
        </w:rPr>
      </w:r>
    </w:p>
    <w:p>
      <w:pPr>
        <w:pStyle w:val="Normal"/>
        <w:spacing w:lineRule="auto" w:line="360"/>
        <w:rPr>
          <w:rFonts w:ascii="Univers" w:hAnsi="Univers" w:cs="Calibri"/>
          <w:sz w:val="20"/>
          <w:szCs w:val="20"/>
        </w:rPr>
      </w:pPr>
      <w:r>
        <w:rPr>
          <w:rFonts w:cs="Calibri" w:ascii="Univers" w:hAnsi="Univers"/>
          <w:sz w:val="20"/>
          <w:szCs w:val="20"/>
        </w:rPr>
        <w:t>Annemarie van Eersel</w:t>
      </w:r>
      <w:r>
        <w:rPr>
          <w:rFonts w:cs="Calibri" w:ascii="Univers" w:hAnsi="Univers"/>
          <w:sz w:val="20"/>
          <w:szCs w:val="20"/>
        </w:rPr>
        <w:t xml:space="preserve"> is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sz w:val="20"/>
          <w:szCs w:val="20"/>
        </w:rPr>
        <w:t>Annemarie van Eersel</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start="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al eerder door de geschillencommissie Vrijgevestigde GGZ praktijken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8</w:t>
        <w:tab/>
        <w:t>Indiening bij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Vrijgevestigde GGZ praktijken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Paragraph"/>
        <w:numPr>
          <w:ilvl w:val="0"/>
          <w:numId w:val="7"/>
        </w:numPr>
        <w:spacing w:lineRule="auto" w:line="360"/>
        <w:rPr>
          <w:rFonts w:ascii="Univers" w:hAnsi="Univers" w:cs="Calibri"/>
          <w:b/>
          <w:sz w:val="20"/>
          <w:szCs w:val="20"/>
        </w:rPr>
      </w:pPr>
      <w:r>
        <w:rPr>
          <w:rFonts w:cs="Calibri" w:ascii="Univers" w:hAnsi="Univers"/>
          <w:sz w:val="20"/>
          <w:szCs w:val="20"/>
        </w:rPr>
        <w:t xml:space="preserve">Het reglement Geschillencommissie Vrijgevestigde GGZ praktijken maakt integraal onderdeel uit van dit reglement en is in te zien op </w:t>
      </w:r>
      <w:hyperlink r:id="rId2">
        <w:r>
          <w:rPr>
            <w:rStyle w:val="Hyperlink"/>
            <w:rFonts w:cs="Calibri" w:ascii="Univers" w:hAnsi="Univers"/>
            <w:sz w:val="20"/>
            <w:szCs w:val="20"/>
          </w:rPr>
          <w:t>vgp-reglement.pdf</w:t>
        </w:r>
      </w:hyperlink>
      <w:r>
        <w:rPr>
          <w:rFonts w:cs="Calibri" w:ascii="Univers" w:hAnsi="Univers"/>
          <w:sz w:val="20"/>
          <w:szCs w:val="20"/>
        </w:rPr>
        <w:t xml:space="preserve">.   </w:t>
        <w:br/>
      </w:r>
    </w:p>
    <w:p>
      <w:pPr>
        <w:pStyle w:val="Normal"/>
        <w:spacing w:lineRule="auto" w:line="360"/>
        <w:rPr>
          <w:rFonts w:ascii="Univers" w:hAnsi="Univers" w:cs="Calibri"/>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10</w:t>
        <w:tab/>
        <w:t>Geheimhouding</w:t>
      </w:r>
    </w:p>
    <w:p>
      <w:pPr>
        <w:pStyle w:val="Normal"/>
        <w:spacing w:lineRule="auto" w:line="360"/>
        <w:ind w:start="705"/>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start="705"/>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start="705"/>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12 </w:t>
        <w:tab/>
        <w:t>Slotbepaling</w:t>
      </w:r>
    </w:p>
    <w:p>
      <w:pPr>
        <w:pStyle w:val="Normal"/>
        <w:spacing w:lineRule="auto" w:line="360"/>
        <w:ind w:start="709"/>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sz w:val="20"/>
          <w:szCs w:val="20"/>
        </w:rPr>
        <w:t>……………………………</w:t>
      </w:r>
      <w:r>
        <w:rPr>
          <w:rFonts w:cs="Calibri" w:ascii="Univers" w:hAnsi="Univers"/>
          <w:sz w:val="20"/>
          <w:szCs w:val="20"/>
        </w:rPr>
        <w:t>Annemarie van Eersel</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op …</w:t>
      </w:r>
      <w:r>
        <w:rPr>
          <w:rFonts w:cs="Calibri" w:ascii="Univers" w:hAnsi="Univers"/>
          <w:sz w:val="20"/>
          <w:szCs w:val="20"/>
        </w:rPr>
        <w:t>14 januari</w:t>
      </w:r>
      <w:r>
        <w:rPr>
          <w:rFonts w:cs="Calibri" w:ascii="Univers" w:hAnsi="Univers"/>
          <w:sz w:val="20"/>
          <w:szCs w:val="20"/>
        </w:rPr>
        <w:t>. 2026</w:t>
      </w:r>
    </w:p>
    <w:p>
      <w:pPr>
        <w:pStyle w:val="Normal"/>
        <w:rPr/>
      </w:pPr>
      <w:r>
        <w:rPr/>
      </w:r>
    </w:p>
    <w:sectPr>
      <w:headerReference w:type="even" r:id="rId3"/>
      <w:headerReference w:type="default" r:id="rId4"/>
      <w:headerReference w:type="first" r:id="rId5"/>
      <w:type w:val="nextPage"/>
      <w:pgSz w:w="11906" w:h="16838"/>
      <w:pgMar w:left="1418" w:right="1418" w:gutter="0" w:header="709" w:top="1985"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Liberation Sans">
    <w:altName w:val="Arial"/>
    <w:charset w:val="01" w:characterSet="utf-8"/>
    <w:family w:val="swiss"/>
    <w:pitch w:val="variable"/>
  </w:font>
  <w:font w:name="Univers">
    <w:charset w:val="01" w:characterSet="utf-8"/>
    <w:family w:val="swiss"/>
    <w:pitch w:val="variable"/>
  </w:font>
  <w:font w:name="Arial">
    <w:charset w:val="01"/>
    <w:family w:val="swiss"/>
    <w:pitch w:val="default"/>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sz w:val="16"/>
        <w:szCs w:val="16"/>
      </w:rPr>
    </w:pPr>
    <w:r>
      <w:drawing>
        <wp:anchor behindDoc="1" distT="0" distB="0" distL="0" distR="0" simplePos="0" locked="0" layoutInCell="0" allowOverlap="1" relativeHeight="8">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sz w:val="16"/>
        <w:szCs w:val="16"/>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i/>
        <w:i/>
        <w:sz w:val="16"/>
        <w:szCs w:val="16"/>
      </w:rPr>
    </w:pPr>
    <w:r>
      <w:drawing>
        <wp:anchor behindDoc="1" distT="0" distB="0" distL="0" distR="0" simplePos="0" locked="0" layoutInCell="0" allowOverlap="1" relativeHeight="9">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i/>
        <w:sz w:val="16"/>
        <w:szCs w:val="16"/>
      </w:rPr>
      <w:t xml:space="preserve">Reglement Klachten- en geschillenregeling </w:t>
    </w:r>
  </w:p>
  <w:p>
    <w:pPr>
      <w:pStyle w:val="Header"/>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5 januari 2026</w:t>
    </w:r>
    <w:r>
      <w:rPr>
        <w:rFonts w:ascii="Univers" w:hAnsi="Univers"/>
        <w:sz w:val="16"/>
        <w:szCs w:val="16"/>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0"/>
        </w:tabs>
        <w:ind w:start="720" w:hanging="360"/>
      </w:pPr>
      <w:rPr>
        <w:rFonts w:ascii="Arial" w:hAnsi="Arial" w:cs="Arial" w:hint="default"/>
        <w:rFonts w:eastAsiaTheme="minorHAnsi"/>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lowerLetter"/>
      <w:lvlText w:val="%1."/>
      <w:lvlJc w:val="start"/>
      <w:pPr>
        <w:tabs>
          <w:tab w:val="num" w:pos="0"/>
        </w:tabs>
        <w:ind w:start="1429" w:hanging="72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star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e221ab"/>
    <w:rPr/>
  </w:style>
  <w:style w:type="character" w:styleId="VoettekstChar" w:customStyle="1">
    <w:name w:val="Voettekst Char"/>
    <w:basedOn w:val="DefaultParagraphFont"/>
    <w:link w:val="Footer"/>
    <w:uiPriority w:val="99"/>
    <w:qFormat/>
    <w:rsid w:val="00e221ab"/>
    <w:rPr/>
  </w:style>
  <w:style w:type="character" w:styleId="Hyperlink">
    <w:name w:val="Hyperlink"/>
    <w:basedOn w:val="DefaultParagraphFont"/>
    <w:uiPriority w:val="99"/>
    <w:unhideWhenUsed/>
    <w:rsid w:val="00e91288"/>
    <w:rPr>
      <w:color w:themeColor="hyperlink" w:val="0563C1"/>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FollowedHyperlink">
    <w:name w:val="FollowedHyperlink"/>
    <w:basedOn w:val="DefaultParagraphFont"/>
    <w:uiPriority w:val="99"/>
    <w:semiHidden/>
    <w:unhideWhenUsed/>
    <w:rsid w:val="00b427ea"/>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tekstChar"/>
    <w:uiPriority w:val="99"/>
    <w:unhideWhenUsed/>
    <w:rsid w:val="00e221ab"/>
    <w:pPr>
      <w:tabs>
        <w:tab w:val="clear" w:pos="708"/>
        <w:tab w:val="center" w:pos="4536" w:leader="none"/>
        <w:tab w:val="right" w:pos="9072" w:leader="none"/>
      </w:tabs>
    </w:pPr>
    <w:rPr/>
  </w:style>
  <w:style w:type="paragraph" w:styleId="Footer">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star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vgp-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file>

<file path=docProps/app.xml><?xml version="1.0" encoding="utf-8"?>
<Properties xmlns="http://schemas.openxmlformats.org/officeDocument/2006/extended-properties" xmlns:vt="http://schemas.openxmlformats.org/officeDocument/2006/docPropsVTypes">
  <Template>Normal</Template>
  <TotalTime>11</TotalTime>
  <Application>LibreOffice/25.2.7.2$Linux_X86_64 LibreOffice_project/520$Build-2</Application>
  <AppVersion>15.0000</AppVersion>
  <Pages>8</Pages>
  <Words>2158</Words>
  <Characters>12622</Characters>
  <CharactersWithSpaces>14652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dc:description/>
  <dc:language>en-BW</dc:language>
  <cp:lastModifiedBy/>
  <dcterms:modified xsi:type="dcterms:W3CDTF">2026-01-14T16:37:46Z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